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eastAsia="zh-CN"/>
        </w:rPr>
        <w:t>中南大学湘雅三医院国家奖学金</w:t>
      </w:r>
      <w:r>
        <w:rPr>
          <w:rFonts w:hint="eastAsia" w:ascii="宋体" w:hAnsi="宋体"/>
          <w:b/>
          <w:bCs/>
          <w:kern w:val="0"/>
          <w:sz w:val="32"/>
          <w:szCs w:val="32"/>
        </w:rPr>
        <w:t>评分细则</w:t>
      </w:r>
    </w:p>
    <w:p>
      <w:pPr>
        <w:widowControl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1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发表论文计分规则：</w:t>
      </w:r>
    </w:p>
    <w:tbl>
      <w:tblPr>
        <w:tblStyle w:val="2"/>
        <w:tblpPr w:leftFromText="180" w:rightFromText="180" w:vertAnchor="text" w:horzAnchor="page" w:tblpX="1990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1740"/>
        <w:gridCol w:w="33"/>
        <w:gridCol w:w="1774"/>
        <w:gridCol w:w="25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44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Hlk49925728"/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期刊类型</w:t>
            </w:r>
          </w:p>
        </w:tc>
        <w:tc>
          <w:tcPr>
            <w:tcW w:w="17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期刊级别</w:t>
            </w:r>
          </w:p>
        </w:tc>
        <w:tc>
          <w:tcPr>
            <w:tcW w:w="358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期刊级别单篇计分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44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博士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9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英文类期刊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44" w:type="dxa"/>
            <w:vMerge w:val="continue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B级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944" w:type="dxa"/>
            <w:vMerge w:val="continue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C级</w:t>
            </w:r>
          </w:p>
        </w:tc>
        <w:tc>
          <w:tcPr>
            <w:tcW w:w="183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49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9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中文类期刊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774" w:type="dxa"/>
            <w:gridSpan w:val="2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9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B级</w:t>
            </w: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774" w:type="dxa"/>
            <w:gridSpan w:val="2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9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C级</w:t>
            </w:r>
          </w:p>
        </w:tc>
        <w:tc>
          <w:tcPr>
            <w:tcW w:w="1774" w:type="dxa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74" w:type="dxa"/>
            <w:gridSpan w:val="2"/>
          </w:tcPr>
          <w:p>
            <w:pPr>
              <w:widowControl/>
              <w:jc w:val="center"/>
              <w:rPr>
                <w:rFonts w:ascii="宋体" w:hAnsi="宋体" w:cs="仿宋_GB2312"/>
                <w:kern w:val="0"/>
                <w:sz w:val="28"/>
                <w:szCs w:val="28"/>
              </w:rPr>
            </w:pPr>
            <w:r>
              <w:rPr>
                <w:rFonts w:ascii="宋体" w:hAnsi="宋体" w:cs="仿宋_GB2312"/>
                <w:kern w:val="0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5" w:type="dxa"/>
            <w:gridSpan w:val="6"/>
            <w:vAlign w:val="center"/>
          </w:tcPr>
          <w:p>
            <w:pPr>
              <w:widowControl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单篇标准总分值=（IF值+期刊级别计分）</w:t>
            </w:r>
            <w:r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  <w:t>/n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 xml:space="preserve">n=并列作者数 </w:t>
            </w:r>
          </w:p>
        </w:tc>
      </w:tr>
      <w:bookmarkEnd w:id="0"/>
    </w:tbl>
    <w:p>
      <w:pPr>
        <w:widowControl/>
        <w:jc w:val="left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注：医学类硕士研究生发表</w:t>
      </w:r>
      <w:r>
        <w:rPr>
          <w:rFonts w:ascii="宋体" w:hAnsi="宋体" w:cs="仿宋_GB2312"/>
          <w:kern w:val="0"/>
          <w:sz w:val="28"/>
          <w:szCs w:val="28"/>
        </w:rPr>
        <w:t xml:space="preserve">SCI </w:t>
      </w:r>
      <w:r>
        <w:rPr>
          <w:rFonts w:hint="eastAsia" w:ascii="宋体" w:hAnsi="宋体" w:cs="仿宋_GB2312"/>
          <w:kern w:val="0"/>
          <w:sz w:val="28"/>
          <w:szCs w:val="28"/>
        </w:rPr>
        <w:t>Q</w:t>
      </w:r>
      <w:r>
        <w:rPr>
          <w:rFonts w:ascii="宋体" w:hAnsi="宋体" w:cs="仿宋_GB2312"/>
          <w:kern w:val="0"/>
          <w:sz w:val="28"/>
          <w:szCs w:val="28"/>
        </w:rPr>
        <w:t>4</w:t>
      </w:r>
      <w:r>
        <w:rPr>
          <w:rFonts w:hint="eastAsia" w:ascii="宋体" w:hAnsi="宋体" w:cs="仿宋_GB2312"/>
          <w:kern w:val="0"/>
          <w:sz w:val="28"/>
          <w:szCs w:val="28"/>
        </w:rPr>
        <w:t>区收录期刊，分区计分1分/篇。</w:t>
      </w:r>
    </w:p>
    <w:p>
      <w:pPr>
        <w:widowControl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bookmarkStart w:id="1" w:name="_Hlk49923590"/>
    </w:p>
    <w:p>
      <w:pPr>
        <w:widowControl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发明专利计分规则：国家授权发明专利每项计10分。专利要求：必须是以研究生为第一申请人（或导师为第一申请人、研究生为第二申请人）、第一完成单位是中南大学湘雅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医院。以授权发明专利证书原件为依据。</w:t>
      </w:r>
    </w:p>
    <w:p>
      <w:pPr>
        <w:widowControl/>
        <w:jc w:val="left"/>
        <w:rPr>
          <w:rFonts w:ascii="宋体" w:hAnsi="宋体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3．学科竞赛计分规则：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3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widowControl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学科竞赛</w:t>
            </w:r>
          </w:p>
        </w:tc>
        <w:tc>
          <w:tcPr>
            <w:tcW w:w="3633" w:type="dxa"/>
          </w:tcPr>
          <w:p>
            <w:pPr>
              <w:widowControl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单项标准分值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国际学科竞赛一等奖及以上</w:t>
            </w:r>
          </w:p>
        </w:tc>
        <w:tc>
          <w:tcPr>
            <w:tcW w:w="3633" w:type="dxa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国际学科竞赛二等奖</w:t>
            </w:r>
          </w:p>
        </w:tc>
        <w:tc>
          <w:tcPr>
            <w:tcW w:w="3633" w:type="dxa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国家级学科竞赛一等奖及以上</w:t>
            </w:r>
          </w:p>
        </w:tc>
        <w:tc>
          <w:tcPr>
            <w:tcW w:w="3633" w:type="dxa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89" w:type="dxa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国家级学科竞赛二等奖</w:t>
            </w:r>
          </w:p>
        </w:tc>
        <w:tc>
          <w:tcPr>
            <w:tcW w:w="3633" w:type="dxa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</w:tr>
      <w:bookmarkEnd w:id="1"/>
    </w:tbl>
    <w:p>
      <w:pPr>
        <w:widowControl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4．科研成果获奖计分规则：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科研成果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单项标准分值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国家自然科学、技术发明、科技进步一等奖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国家自然科学、技术发明、科技进步二等奖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国家自然科学、技术发明、科技进步三等奖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省部级科技奖一等奖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省部级科技奖二等奖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>
      <w:pPr>
        <w:widowControl/>
        <w:jc w:val="left"/>
        <w:rPr>
          <w:rFonts w:ascii="宋体" w:hAnsi="宋体" w:cs="仿宋_GB2312"/>
          <w:bCs/>
          <w:color w:val="000000"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其他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eastAsia="zh-CN"/>
        </w:rPr>
        <w:t>科研成果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计分规则：著作或专著、获得省部级以上作品、咨询报告及特殊贡献计分规则，由奖学金评审委员会根据实际情况集体讨论后确定分值。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各级荣誉、获奖计分规则：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各类荣誉获奖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单项标准分值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/>
              </w:rPr>
              <w:t>校级十佳研究生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\优秀学生标兵、优秀干部标兵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/>
              </w:rPr>
              <w:t>校级优秀研究生、优秀研究生干部、优秀党员、优秀团员、优秀团干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widowControl/>
        <w:numPr>
          <w:numId w:val="0"/>
        </w:numPr>
        <w:jc w:val="left"/>
        <w:rPr>
          <w:rFonts w:hint="eastAsia" w:ascii="宋体" w:hAnsi="宋体" w:cs="仿宋_GB2312"/>
          <w:color w:val="000000"/>
          <w:kern w:val="0"/>
          <w:sz w:val="28"/>
          <w:szCs w:val="28"/>
        </w:rPr>
      </w:pPr>
    </w:p>
    <w:p>
      <w:pPr>
        <w:widowControl/>
        <w:jc w:val="left"/>
      </w:pPr>
      <w:r>
        <w:rPr>
          <w:rFonts w:hint="eastAsia" w:ascii="宋体" w:hAnsi="宋体" w:cs="仿宋_GB2312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．总分=成绩绩点+发表论文得分+发明专利得分+学科竞赛得分+科研成果获奖得分+其他各级荣誉获奖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eastAsia="zh-CN"/>
        </w:rPr>
        <w:t>得分</w:t>
      </w:r>
      <w:bookmarkStart w:id="3" w:name="_GoBack"/>
      <w:bookmarkEnd w:id="3"/>
    </w:p>
    <w:p/>
    <w:p>
      <w:pPr>
        <w:jc w:val="center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ascii="宋体" w:hAnsi="宋体" w:eastAsia="宋体"/>
          <w:b/>
          <w:bCs/>
          <w:kern w:val="0"/>
          <w:sz w:val="32"/>
          <w:szCs w:val="32"/>
        </w:rPr>
        <w:t>校长奖学金</w:t>
      </w:r>
      <w:r>
        <w:rPr>
          <w:rFonts w:hint="eastAsia" w:ascii="宋体" w:hAnsi="宋体"/>
          <w:b/>
          <w:bCs/>
          <w:kern w:val="0"/>
          <w:sz w:val="32"/>
          <w:szCs w:val="32"/>
        </w:rPr>
        <w:t>评分细则</w:t>
      </w:r>
    </w:p>
    <w:p>
      <w:pPr>
        <w:widowControl/>
        <w:spacing w:line="360" w:lineRule="auto"/>
        <w:jc w:val="left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1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.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发表论文计分规则：</w:t>
      </w:r>
    </w:p>
    <w:tbl>
      <w:tblPr>
        <w:tblStyle w:val="2"/>
        <w:tblpPr w:leftFromText="180" w:rightFromText="180" w:vertAnchor="text" w:horzAnchor="page" w:tblpX="1990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1740"/>
        <w:gridCol w:w="33"/>
        <w:gridCol w:w="3500"/>
        <w:gridCol w:w="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16" w:hRule="atLeast"/>
        </w:trPr>
        <w:tc>
          <w:tcPr>
            <w:tcW w:w="294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  <w:t>期刊类型</w:t>
            </w:r>
          </w:p>
        </w:tc>
        <w:tc>
          <w:tcPr>
            <w:tcW w:w="17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  <w:t>期刊级别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  <w:t>分级别期刊单篇计分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69" w:hRule="atLeast"/>
        </w:trPr>
        <w:tc>
          <w:tcPr>
            <w:tcW w:w="29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英文类期刊</w:t>
            </w:r>
          </w:p>
        </w:tc>
        <w:tc>
          <w:tcPr>
            <w:tcW w:w="17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36" w:hRule="atLeast"/>
        </w:trPr>
        <w:tc>
          <w:tcPr>
            <w:tcW w:w="2944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B级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709" w:hRule="atLeast"/>
        </w:trPr>
        <w:tc>
          <w:tcPr>
            <w:tcW w:w="2944" w:type="dxa"/>
            <w:vMerge w:val="continue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C级</w:t>
            </w:r>
          </w:p>
        </w:tc>
        <w:tc>
          <w:tcPr>
            <w:tcW w:w="35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  <w:t>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18" w:hRule="atLeast"/>
        </w:trPr>
        <w:tc>
          <w:tcPr>
            <w:tcW w:w="294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中文类期刊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3500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16" w:hRule="atLeast"/>
        </w:trPr>
        <w:tc>
          <w:tcPr>
            <w:tcW w:w="29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B级</w:t>
            </w:r>
          </w:p>
        </w:tc>
        <w:tc>
          <w:tcPr>
            <w:tcW w:w="3500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trHeight w:val="416" w:hRule="atLeast"/>
        </w:trPr>
        <w:tc>
          <w:tcPr>
            <w:tcW w:w="294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C级</w:t>
            </w:r>
          </w:p>
        </w:tc>
        <w:tc>
          <w:tcPr>
            <w:tcW w:w="3500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26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单篇标准总分值=（IF值+分级别计分）</w:t>
            </w:r>
            <w:r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  <w:t>/n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 xml:space="preserve">   n=并列作者数 </w:t>
            </w:r>
          </w:p>
        </w:tc>
      </w:tr>
    </w:tbl>
    <w:p>
      <w:pPr>
        <w:spacing w:line="360" w:lineRule="auto"/>
        <w:rPr>
          <w:rFonts w:ascii="宋体" w:hAnsi="宋体" w:eastAsia="宋体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2.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发明专利计分规则：国家授权发明专利每项计</w:t>
      </w: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10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分。专利要求：必须是以研究生为第一申请人（或导师为第一申请人、研究生为第二申请人）、第一完成单位是中南大学湘雅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医院。以授权发明专利证书原件为依据。</w:t>
      </w:r>
    </w:p>
    <w:p>
      <w:pPr>
        <w:widowControl/>
        <w:spacing w:line="360" w:lineRule="auto"/>
        <w:jc w:val="left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3.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学科竞赛计分规则：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  <w:t>学科竞赛</w:t>
            </w:r>
          </w:p>
        </w:tc>
        <w:tc>
          <w:tcPr>
            <w:tcW w:w="2177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  <w:t>单项标准分值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国际学科竞赛一等奖及以上奖励排名第一</w:t>
            </w:r>
          </w:p>
        </w:tc>
        <w:tc>
          <w:tcPr>
            <w:tcW w:w="2177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国际学科竞赛一等奖排名第二</w:t>
            </w:r>
          </w:p>
        </w:tc>
        <w:tc>
          <w:tcPr>
            <w:tcW w:w="2177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国家级学科竞赛一等奖及以上奖励排名第一</w:t>
            </w:r>
          </w:p>
        </w:tc>
        <w:tc>
          <w:tcPr>
            <w:tcW w:w="2177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国家级学科竞赛一等奖排名第二</w:t>
            </w:r>
          </w:p>
        </w:tc>
        <w:tc>
          <w:tcPr>
            <w:tcW w:w="2177" w:type="dxa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eastAsia="宋体" w:cs="仿宋_GB2312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ascii="宋体" w:hAnsi="宋体" w:eastAsia="宋体" w:cs="仿宋_GB2312"/>
          <w:color w:val="000000"/>
          <w:kern w:val="0"/>
          <w:sz w:val="28"/>
          <w:szCs w:val="28"/>
        </w:rPr>
        <w:t>4.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科研成果获奖计分规则：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  <w:t>科研成果</w:t>
            </w:r>
          </w:p>
        </w:tc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  <w:t>单项标准分值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2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国家自然科学、技术发明、科技进步一等奖</w:t>
            </w:r>
          </w:p>
        </w:tc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国家自然科学、技术发明、科技进步二等奖</w:t>
            </w:r>
          </w:p>
        </w:tc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2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国家自然科学、技术发明、科技进步三等奖</w:t>
            </w:r>
          </w:p>
        </w:tc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省部级科技奖一等奖</w:t>
            </w:r>
          </w:p>
        </w:tc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省部级科技奖二等奖</w:t>
            </w:r>
          </w:p>
        </w:tc>
        <w:tc>
          <w:tcPr>
            <w:tcW w:w="223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eastAsia="宋体" w:cs="仿宋_GB2312"/>
          <w:bCs/>
          <w:color w:val="000000"/>
          <w:kern w:val="0"/>
          <w:sz w:val="28"/>
          <w:szCs w:val="28"/>
        </w:rPr>
      </w:pP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其他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eastAsia="zh-CN"/>
        </w:rPr>
        <w:t>科研成果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计分规则：著作或专著、</w:t>
      </w:r>
      <w:bookmarkStart w:id="2" w:name="_Hlk49950262"/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获得省部级以上作品、</w:t>
      </w:r>
      <w:bookmarkEnd w:id="2"/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咨询报告及特殊贡献计分规则，由奖学金评审委员会根据实际情况集体讨论后确定分值。</w:t>
      </w:r>
    </w:p>
    <w:p>
      <w:pPr>
        <w:widowControl/>
        <w:numPr>
          <w:ilvl w:val="0"/>
          <w:numId w:val="1"/>
        </w:numPr>
        <w:jc w:val="left"/>
        <w:rPr>
          <w:rFonts w:hint="eastAsia" w:ascii="宋体" w:hAnsi="宋体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各级荣誉、获奖计分规则：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0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各类荣誉获奖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单项标准分值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/>
              </w:rPr>
              <w:t>校级十佳研究生</w:t>
            </w: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\优秀学生标兵、优秀干部标兵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8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eastAsia="zh-CN"/>
              </w:rPr>
              <w:t>校级优秀研究生、优秀研究生干部、优秀党员、优秀团员、优秀团干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</w:tbl>
    <w:p>
      <w:pPr>
        <w:widowControl/>
        <w:jc w:val="left"/>
        <w:rPr>
          <w:rFonts w:hint="eastAsia" w:ascii="宋体" w:hAnsi="宋体" w:eastAsia="宋体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color w:val="000000"/>
          <w:kern w:val="0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仿宋_GB2312"/>
          <w:color w:val="000000"/>
          <w:kern w:val="0"/>
          <w:sz w:val="28"/>
          <w:szCs w:val="28"/>
        </w:rPr>
        <w:t>总分=成绩绩点+发表论文得分+发明专利得分+学科竞赛得分</w:t>
      </w:r>
      <w:r>
        <w:rPr>
          <w:rFonts w:hint="eastAsia" w:ascii="宋体" w:hAnsi="宋体" w:cs="仿宋_GB2312"/>
          <w:color w:val="000000"/>
          <w:kern w:val="0"/>
          <w:sz w:val="28"/>
          <w:szCs w:val="28"/>
        </w:rPr>
        <w:t>+科研成果获奖得分+其他各级荣誉获奖</w:t>
      </w:r>
      <w:r>
        <w:rPr>
          <w:rFonts w:hint="eastAsia" w:ascii="宋体" w:hAnsi="宋体" w:cs="仿宋_GB2312"/>
          <w:color w:val="000000"/>
          <w:kern w:val="0"/>
          <w:sz w:val="28"/>
          <w:szCs w:val="28"/>
          <w:lang w:eastAsia="zh-CN"/>
        </w:rPr>
        <w:t>得分</w:t>
      </w:r>
    </w:p>
    <w:p>
      <w:pPr>
        <w:widowControl/>
        <w:spacing w:line="360" w:lineRule="auto"/>
        <w:jc w:val="left"/>
        <w:rPr>
          <w:rFonts w:ascii="宋体" w:hAnsi="宋体" w:eastAsia="宋体" w:cs="仿宋_GB2312"/>
          <w:color w:val="000000"/>
          <w:kern w:val="0"/>
          <w:sz w:val="28"/>
          <w:szCs w:val="28"/>
        </w:rPr>
      </w:pPr>
    </w:p>
    <w:p>
      <w:pPr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p>
      <w:pPr>
        <w:jc w:val="both"/>
        <w:rPr>
          <w:rFonts w:hint="eastAsia" w:ascii="宋体" w:hAnsi="宋体"/>
          <w:b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7BA7FD"/>
    <w:multiLevelType w:val="singleLevel"/>
    <w:tmpl w:val="897BA7FD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5B64390"/>
    <w:multiLevelType w:val="singleLevel"/>
    <w:tmpl w:val="35B64390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F3A5A"/>
    <w:rsid w:val="0E60160F"/>
    <w:rsid w:val="11236E53"/>
    <w:rsid w:val="1B620B56"/>
    <w:rsid w:val="2EBC293B"/>
    <w:rsid w:val="36271B71"/>
    <w:rsid w:val="392D0AA1"/>
    <w:rsid w:val="400000A0"/>
    <w:rsid w:val="40DD5C12"/>
    <w:rsid w:val="43CB1CF3"/>
    <w:rsid w:val="469915F1"/>
    <w:rsid w:val="4C393128"/>
    <w:rsid w:val="58A71264"/>
    <w:rsid w:val="600648D5"/>
    <w:rsid w:val="696F3A5A"/>
    <w:rsid w:val="69D93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2020-09-17T04:16:00Z</dcterms:created>
  <dc:creator>dreamsyang</dc:creator>
  <cp:lastModifiedBy>dreamsyang</cp:lastModifiedBy>
  <dcterms:modified xsi:type="dcterms:W3CDTF">2020-09-24T07:03:16Z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