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9" w:rsidRDefault="00C77830">
      <w:pPr>
        <w:spacing w:before="163" w:after="81"/>
        <w:ind w:firstLineChars="2548" w:firstLine="5372"/>
      </w:pPr>
      <w:bookmarkStart w:id="0" w:name="OLE_LINK1"/>
      <w:bookmarkStart w:id="1" w:name="OLE_LINK2"/>
      <w:r>
        <w:rPr>
          <w:rFonts w:hint="eastAsia"/>
          <w:b/>
        </w:rPr>
        <w:t>文档编号：</w:t>
      </w:r>
      <w:r>
        <w:rPr>
          <w:rFonts w:hint="eastAsia"/>
          <w:b/>
        </w:rPr>
        <w:t>QMS-SC201501</w:t>
      </w:r>
    </w:p>
    <w:p w:rsidR="003C63B9" w:rsidRDefault="003C63B9">
      <w:pPr>
        <w:spacing w:before="163" w:after="81"/>
        <w:ind w:firstLineChars="2700" w:firstLine="5692"/>
        <w:rPr>
          <w:b/>
        </w:rPr>
      </w:pPr>
    </w:p>
    <w:p w:rsidR="00F74C5C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中南大学</w:t>
      </w:r>
    </w:p>
    <w:p w:rsidR="003C63B9" w:rsidRDefault="00F74C5C" w:rsidP="00F74C5C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高水平论文</w:t>
      </w:r>
      <w:r w:rsidR="00C77830">
        <w:rPr>
          <w:rFonts w:ascii="黑体" w:eastAsia="黑体" w:hint="eastAsia"/>
          <w:b/>
          <w:sz w:val="72"/>
          <w:szCs w:val="72"/>
        </w:rPr>
        <w:t>同行评议申报</w:t>
      </w:r>
    </w:p>
    <w:p w:rsidR="003C63B9" w:rsidRDefault="003C63B9">
      <w:pPr>
        <w:spacing w:before="163" w:after="81"/>
        <w:ind w:firstLine="480"/>
      </w:pP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用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户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操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作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使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用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手</w:t>
      </w:r>
    </w:p>
    <w:p w:rsidR="003C63B9" w:rsidRDefault="00C77830">
      <w:pPr>
        <w:pStyle w:val="a7"/>
        <w:jc w:val="center"/>
        <w:rPr>
          <w:rFonts w:ascii="黑体" w:eastAsia="黑体"/>
          <w:b/>
          <w:sz w:val="72"/>
          <w:szCs w:val="72"/>
        </w:rPr>
      </w:pPr>
      <w:proofErr w:type="gramStart"/>
      <w:r>
        <w:rPr>
          <w:rFonts w:ascii="黑体" w:eastAsia="黑体" w:hint="eastAsia"/>
          <w:b/>
          <w:sz w:val="72"/>
          <w:szCs w:val="72"/>
        </w:rPr>
        <w:t>册</w:t>
      </w:r>
      <w:proofErr w:type="gramEnd"/>
    </w:p>
    <w:p w:rsidR="003C63B9" w:rsidRDefault="003C63B9">
      <w:pPr>
        <w:spacing w:before="163" w:after="81"/>
        <w:rPr>
          <w:b/>
          <w:sz w:val="48"/>
        </w:rPr>
      </w:pPr>
    </w:p>
    <w:p w:rsidR="003C63B9" w:rsidRDefault="00C77830">
      <w:pPr>
        <w:spacing w:before="163" w:after="81"/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技术支持：北京易普行科技有限公司</w:t>
      </w:r>
    </w:p>
    <w:p w:rsidR="003C63B9" w:rsidRDefault="003C63B9">
      <w:pPr>
        <w:spacing w:before="163" w:after="81"/>
        <w:ind w:firstLine="480"/>
      </w:pPr>
    </w:p>
    <w:bookmarkEnd w:id="0"/>
    <w:bookmarkEnd w:id="1"/>
    <w:p w:rsidR="003C63B9" w:rsidRDefault="003C63B9">
      <w:pPr>
        <w:pStyle w:val="a7"/>
        <w:jc w:val="center"/>
        <w:sectPr w:rsidR="003C63B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418" w:header="737" w:footer="737" w:gutter="0"/>
          <w:pgNumType w:fmt="numberInDash" w:start="1"/>
          <w:cols w:space="425"/>
          <w:docGrid w:type="lines" w:linePitch="326"/>
        </w:sectPr>
      </w:pPr>
    </w:p>
    <w:p w:rsidR="003C63B9" w:rsidRDefault="00C77830">
      <w:pPr>
        <w:pStyle w:val="2"/>
        <w:numPr>
          <w:ilvl w:val="0"/>
          <w:numId w:val="1"/>
        </w:numPr>
      </w:pPr>
      <w:bookmarkStart w:id="2" w:name="_Toc22941"/>
      <w:r>
        <w:rPr>
          <w:rFonts w:hint="eastAsia"/>
        </w:rPr>
        <w:lastRenderedPageBreak/>
        <w:t>浏览器要求</w:t>
      </w:r>
      <w:bookmarkEnd w:id="2"/>
    </w:p>
    <w:p w:rsidR="003C63B9" w:rsidRDefault="00C77830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谷歌</w:t>
      </w:r>
      <w:proofErr w:type="gramEnd"/>
      <w:r>
        <w:rPr>
          <w:rFonts w:ascii="仿宋_GB2312" w:eastAsia="仿宋_GB2312" w:hAnsi="仿宋" w:hint="eastAsia"/>
          <w:color w:val="FF0000"/>
          <w:sz w:val="32"/>
          <w:szCs w:val="32"/>
        </w:rPr>
        <w:t>(推荐)</w:t>
      </w:r>
      <w:r>
        <w:rPr>
          <w:rFonts w:ascii="仿宋_GB2312" w:eastAsia="仿宋_GB2312" w:hAnsi="仿宋" w:hint="eastAsia"/>
          <w:sz w:val="32"/>
          <w:szCs w:val="32"/>
        </w:rPr>
        <w:t>、搜狐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(推荐)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、IE 8.0及以上版本、360浏览器(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极速模式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)</w:t>
      </w:r>
    </w:p>
    <w:p w:rsidR="003C63B9" w:rsidRDefault="00C77830">
      <w:pPr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sz w:val="24"/>
          <w:szCs w:val="28"/>
        </w:rPr>
        <w:t xml:space="preserve"> </w:t>
      </w:r>
      <w:r>
        <w:rPr>
          <w:rFonts w:ascii="仿宋_GB2312" w:eastAsia="仿宋_GB2312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2926080" cy="11506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不是360</w:t>
      </w:r>
      <w:proofErr w:type="gramStart"/>
      <w:r>
        <w:rPr>
          <w:rFonts w:ascii="仿宋_GB2312" w:eastAsia="仿宋_GB2312" w:hAnsi="仿宋"/>
          <w:color w:val="000000" w:themeColor="text1"/>
          <w:sz w:val="32"/>
          <w:szCs w:val="32"/>
        </w:rPr>
        <w:t>极</w:t>
      </w:r>
      <w:proofErr w:type="gramEnd"/>
      <w:r>
        <w:rPr>
          <w:rFonts w:ascii="仿宋_GB2312" w:eastAsia="仿宋_GB2312" w:hAnsi="仿宋"/>
          <w:color w:val="000000" w:themeColor="text1"/>
          <w:sz w:val="32"/>
          <w:szCs w:val="32"/>
        </w:rPr>
        <w:t>速浏览器</w:t>
      </w:r>
    </w:p>
    <w:p w:rsidR="003C63B9" w:rsidRDefault="003C63B9">
      <w:pPr>
        <w:rPr>
          <w:rFonts w:ascii="仿宋" w:eastAsia="仿宋" w:hAnsi="仿宋"/>
          <w:sz w:val="24"/>
          <w:szCs w:val="24"/>
        </w:rPr>
      </w:pPr>
    </w:p>
    <w:p w:rsidR="003C63B9" w:rsidRDefault="00C77830">
      <w:pPr>
        <w:pStyle w:val="2"/>
        <w:numPr>
          <w:ilvl w:val="0"/>
          <w:numId w:val="1"/>
        </w:numPr>
      </w:pPr>
      <w:r>
        <w:rPr>
          <w:rFonts w:hint="eastAsia"/>
        </w:rPr>
        <w:t>登录方式</w:t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1.通过网址登录：</w:t>
      </w:r>
      <w:hyperlink r:id="rId13" w:history="1">
        <w:r>
          <w:rPr>
            <w:rStyle w:val="a6"/>
            <w:rFonts w:ascii="仿宋_GB2312" w:eastAsia="仿宋_GB2312" w:hAnsi="仿宋" w:hint="eastAsia"/>
            <w:color w:val="333333"/>
            <w:sz w:val="32"/>
            <w:szCs w:val="32"/>
            <w:shd w:val="clear" w:color="auto" w:fill="FFFFFF"/>
          </w:rPr>
          <w:t>http://hr.csu.edu.cn</w:t>
        </w:r>
      </w:hyperlink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登录账号：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人工号， 原始密码为：身份证后六位</w:t>
      </w:r>
    </w:p>
    <w:p w:rsidR="003C63B9" w:rsidRDefault="00C77830"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2.通过信息门户登录：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http://my.csu.edu.cn-单点登录-人事系统（如没有，需手动添加）</w:t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添加方式：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（1）点击右上方蓝色方框中的图标</w:t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>
            <wp:extent cx="1466850" cy="2552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（2）点击人事系统图标进入已添加系统</w:t>
      </w:r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>
            <wp:extent cx="5948680" cy="3933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4034" cy="398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B9" w:rsidRDefault="00C77830">
      <w:pPr>
        <w:pStyle w:val="2"/>
        <w:rPr>
          <w:rFonts w:ascii="仿宋_GB2312" w:eastAsia="仿宋_GB2312"/>
          <w:b w:val="0"/>
          <w:bCs/>
        </w:rPr>
      </w:pPr>
      <w:bookmarkStart w:id="3" w:name="_Toc13531"/>
      <w:r>
        <w:rPr>
          <w:noProof/>
        </w:rPr>
        <w:lastRenderedPageBreak/>
        <w:drawing>
          <wp:inline distT="0" distB="0" distL="0" distR="0">
            <wp:extent cx="5948045" cy="403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088" cy="40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B9" w:rsidRDefault="00C77830">
      <w:pPr>
        <w:pStyle w:val="2"/>
        <w:rPr>
          <w:rFonts w:ascii="仿宋_GB2312" w:eastAsia="仿宋_GB2312"/>
          <w:b w:val="0"/>
          <w:bCs/>
        </w:rPr>
      </w:pPr>
      <w:r>
        <w:rPr>
          <w:rFonts w:ascii="仿宋_GB2312" w:eastAsia="仿宋_GB2312" w:hint="eastAsia"/>
          <w:b w:val="0"/>
          <w:bCs/>
        </w:rPr>
        <w:t>（3）点击保存配置，人事系统添加成功。</w:t>
      </w:r>
    </w:p>
    <w:p w:rsidR="003C63B9" w:rsidRDefault="00C77830">
      <w:pPr>
        <w:pStyle w:val="2"/>
      </w:pPr>
      <w:r>
        <w:rPr>
          <w:rFonts w:hint="eastAsia"/>
        </w:rPr>
        <w:t>三、无法登陆处理方式：</w:t>
      </w:r>
      <w:bookmarkEnd w:id="3"/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1.清理清理浏览器缓存：</w:t>
      </w:r>
    </w:p>
    <w:p w:rsidR="003C63B9" w:rsidRDefault="00C77830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各类浏览器清理缓存方法：</w:t>
      </w:r>
      <w:hyperlink r:id="rId17" w:history="1">
        <w:r>
          <w:rPr>
            <w:rStyle w:val="a6"/>
            <w:rFonts w:ascii="仿宋_GB2312" w:eastAsia="仿宋_GB2312" w:hAnsi="仿宋" w:hint="eastAsia"/>
            <w:sz w:val="32"/>
            <w:szCs w:val="32"/>
          </w:rPr>
          <w:t>https://jingyan.baidu.com/article/8065f87fc59f1723312498f1.html</w:t>
        </w:r>
      </w:hyperlink>
    </w:p>
    <w:p w:rsidR="003C63B9" w:rsidRDefault="00C778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2.若系统为XP系统，IE浏览器无法升级到8.0及以上版本的，无法处理。</w:t>
      </w:r>
    </w:p>
    <w:p w:rsidR="003C63B9" w:rsidRDefault="003C63B9">
      <w:pPr>
        <w:rPr>
          <w:rFonts w:ascii="仿宋" w:eastAsia="仿宋" w:hAnsi="仿宋"/>
          <w:sz w:val="24"/>
          <w:szCs w:val="24"/>
        </w:rPr>
      </w:pPr>
    </w:p>
    <w:p w:rsidR="003C63B9" w:rsidRDefault="00C77830">
      <w:pPr>
        <w:pStyle w:val="2"/>
      </w:pPr>
      <w:bookmarkStart w:id="4" w:name="_Toc30879"/>
      <w:r>
        <w:rPr>
          <w:rFonts w:hint="eastAsia"/>
        </w:rPr>
        <w:lastRenderedPageBreak/>
        <w:t>四、密码</w:t>
      </w:r>
      <w:bookmarkEnd w:id="4"/>
      <w:r>
        <w:rPr>
          <w:rFonts w:hint="eastAsia"/>
        </w:rPr>
        <w:t>修改</w:t>
      </w:r>
    </w:p>
    <w:p w:rsidR="003C63B9" w:rsidRDefault="00C77830">
      <w:r>
        <w:rPr>
          <w:noProof/>
        </w:rPr>
        <w:drawing>
          <wp:inline distT="0" distB="0" distL="0" distR="0">
            <wp:extent cx="5267325" cy="1800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B9" w:rsidRDefault="00C77830">
      <w:pPr>
        <w:pStyle w:val="2"/>
      </w:pPr>
      <w:bookmarkStart w:id="5" w:name="_Toc8720"/>
      <w:r>
        <w:rPr>
          <w:rFonts w:hint="eastAsia"/>
        </w:rPr>
        <w:t>五、操作方法</w:t>
      </w:r>
      <w:bookmarkEnd w:id="5"/>
    </w:p>
    <w:p w:rsidR="003C63B9" w:rsidRDefault="003C63B9"/>
    <w:p w:rsidR="003C63B9" w:rsidRDefault="00C77830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教职工角色</w:t>
      </w:r>
    </w:p>
    <w:p w:rsidR="003C63B9" w:rsidRDefault="00C77830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操作方法:登陆系统后，进入同行评议模块。</w:t>
      </w:r>
    </w:p>
    <w:p w:rsidR="003C63B9" w:rsidRDefault="00C77830">
      <w:r>
        <w:rPr>
          <w:noProof/>
        </w:rPr>
        <w:drawing>
          <wp:inline distT="0" distB="0" distL="114300" distR="114300">
            <wp:extent cx="5266055" cy="191706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B9" w:rsidRDefault="003C63B9"/>
    <w:p w:rsidR="003C63B9" w:rsidRDefault="003C63B9"/>
    <w:p w:rsidR="003C63B9" w:rsidRDefault="00C7783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选择“</w:t>
      </w:r>
      <w:r>
        <w:rPr>
          <w:rFonts w:ascii="仿宋_GB2312" w:eastAsia="仿宋_GB2312"/>
          <w:sz w:val="32"/>
          <w:szCs w:val="36"/>
        </w:rPr>
        <w:t>202</w:t>
      </w:r>
      <w:r w:rsidR="00673644">
        <w:rPr>
          <w:rFonts w:ascii="仿宋_GB2312" w:eastAsia="仿宋_GB2312" w:hint="eastAsia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上半年高水平论文同行专家评审</w:t>
      </w:r>
      <w:r>
        <w:rPr>
          <w:rFonts w:ascii="仿宋_GB2312" w:eastAsia="仿宋_GB2312" w:hint="eastAsia"/>
          <w:sz w:val="32"/>
          <w:szCs w:val="36"/>
        </w:rPr>
        <w:t>”,跳转到对应的申报页面进行填写,填写完相关内容后点击“提交申报按钮”即可进入审核阶段。</w:t>
      </w:r>
    </w:p>
    <w:p w:rsidR="003C63B9" w:rsidRDefault="00225A1C">
      <w:r>
        <w:rPr>
          <w:noProof/>
        </w:rPr>
        <w:lastRenderedPageBreak/>
        <w:drawing>
          <wp:inline distT="0" distB="0" distL="0" distR="0">
            <wp:extent cx="5274310" cy="27019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3B9" w:rsidRDefault="003C63B9"/>
    <w:p w:rsidR="003C63B9" w:rsidRDefault="00C77830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点击“送审人员”菜单可以随时查看个人申报审核状态</w:t>
      </w:r>
    </w:p>
    <w:p w:rsidR="003C63B9" w:rsidRDefault="00225A1C">
      <w:r>
        <w:rPr>
          <w:noProof/>
        </w:rPr>
        <w:drawing>
          <wp:inline distT="0" distB="0" distL="0" distR="0">
            <wp:extent cx="5274310" cy="25933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3B9" w:rsidRDefault="003C63B9"/>
    <w:p w:rsidR="003C63B9" w:rsidRDefault="003C63B9"/>
    <w:sectPr w:rsidR="003C63B9" w:rsidSect="003C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B0" w:rsidRDefault="006C58B0" w:rsidP="003C63B9">
      <w:r>
        <w:separator/>
      </w:r>
    </w:p>
  </w:endnote>
  <w:endnote w:type="continuationSeparator" w:id="0">
    <w:p w:rsidR="006C58B0" w:rsidRDefault="006C58B0" w:rsidP="003C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09711"/>
    </w:sdtPr>
    <w:sdtContent>
      <w:p w:rsidR="003C63B9" w:rsidRDefault="00844E79">
        <w:pPr>
          <w:pStyle w:val="a4"/>
          <w:spacing w:before="120" w:after="60"/>
          <w:ind w:firstLine="480"/>
        </w:pPr>
        <w:r w:rsidRPr="00844E79">
          <w:fldChar w:fldCharType="begin"/>
        </w:r>
        <w:r w:rsidR="00C77830">
          <w:instrText>PAGE   \* MERGEFORMAT</w:instrText>
        </w:r>
        <w:r w:rsidRPr="00844E79">
          <w:fldChar w:fldCharType="separate"/>
        </w:r>
        <w:r w:rsidR="00673644" w:rsidRPr="00673644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166751826"/>
    </w:sdtPr>
    <w:sdtContent>
      <w:p w:rsidR="003C63B9" w:rsidRDefault="00C77830">
        <w:pPr>
          <w:pStyle w:val="a4"/>
          <w:spacing w:before="120" w:after="60"/>
          <w:ind w:firstLine="560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1</w:t>
        </w:r>
      </w:p>
    </w:sdtContent>
  </w:sdt>
  <w:p w:rsidR="003C63B9" w:rsidRDefault="003C63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B0" w:rsidRDefault="006C58B0" w:rsidP="003C63B9">
      <w:r>
        <w:separator/>
      </w:r>
    </w:p>
  </w:footnote>
  <w:footnote w:type="continuationSeparator" w:id="0">
    <w:p w:rsidR="006C58B0" w:rsidRDefault="006C58B0" w:rsidP="003C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9" w:rsidRDefault="003C63B9">
    <w:pPr>
      <w:pStyle w:val="a5"/>
      <w:spacing w:before="120" w:after="6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9" w:rsidRDefault="00C77830">
    <w:pPr>
      <w:pStyle w:val="a5"/>
      <w:spacing w:before="120" w:after="60"/>
      <w:jc w:val="left"/>
    </w:pPr>
    <w:r>
      <w:rPr>
        <w:rFonts w:hint="eastAsia"/>
      </w:rPr>
      <w:t>中南大学同行评议申报用户使用手册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B9" w:rsidRDefault="003C63B9">
    <w:pPr>
      <w:pStyle w:val="a5"/>
      <w:spacing w:before="120" w:after="6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10DBB"/>
    <w:multiLevelType w:val="singleLevel"/>
    <w:tmpl w:val="BD710DBB"/>
    <w:lvl w:ilvl="0">
      <w:start w:val="1"/>
      <w:numFmt w:val="chineseCountingThousand"/>
      <w:lvlText w:val="%1、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C01"/>
    <w:rsid w:val="000773FB"/>
    <w:rsid w:val="00100512"/>
    <w:rsid w:val="001545FC"/>
    <w:rsid w:val="00171C01"/>
    <w:rsid w:val="001E6365"/>
    <w:rsid w:val="00225A1C"/>
    <w:rsid w:val="0024227F"/>
    <w:rsid w:val="00256B81"/>
    <w:rsid w:val="002D7B2A"/>
    <w:rsid w:val="00302B50"/>
    <w:rsid w:val="00351827"/>
    <w:rsid w:val="003C1CE8"/>
    <w:rsid w:val="003C63B9"/>
    <w:rsid w:val="004418C8"/>
    <w:rsid w:val="00484F3B"/>
    <w:rsid w:val="005D59C1"/>
    <w:rsid w:val="00616BB6"/>
    <w:rsid w:val="00673644"/>
    <w:rsid w:val="006C572D"/>
    <w:rsid w:val="006C58B0"/>
    <w:rsid w:val="00760664"/>
    <w:rsid w:val="00844E79"/>
    <w:rsid w:val="008A7E8E"/>
    <w:rsid w:val="008B5056"/>
    <w:rsid w:val="00917EBF"/>
    <w:rsid w:val="00A05285"/>
    <w:rsid w:val="00A6037C"/>
    <w:rsid w:val="00B00F8C"/>
    <w:rsid w:val="00B5576D"/>
    <w:rsid w:val="00BF350C"/>
    <w:rsid w:val="00C77830"/>
    <w:rsid w:val="00D0636A"/>
    <w:rsid w:val="00DD2D36"/>
    <w:rsid w:val="00E120BD"/>
    <w:rsid w:val="00EB1499"/>
    <w:rsid w:val="00ED6F37"/>
    <w:rsid w:val="00F331F0"/>
    <w:rsid w:val="00F71C6A"/>
    <w:rsid w:val="00F74C5C"/>
    <w:rsid w:val="00FE37DD"/>
    <w:rsid w:val="054020B2"/>
    <w:rsid w:val="08030185"/>
    <w:rsid w:val="0D2408CC"/>
    <w:rsid w:val="16A070E1"/>
    <w:rsid w:val="247010FF"/>
    <w:rsid w:val="37686852"/>
    <w:rsid w:val="40A35185"/>
    <w:rsid w:val="434A6490"/>
    <w:rsid w:val="4C3103EA"/>
    <w:rsid w:val="4EA34EA3"/>
    <w:rsid w:val="4F957333"/>
    <w:rsid w:val="54E63D3C"/>
    <w:rsid w:val="57244EAB"/>
    <w:rsid w:val="594A62C4"/>
    <w:rsid w:val="5B920779"/>
    <w:rsid w:val="5E7A0B4E"/>
    <w:rsid w:val="60CA4511"/>
    <w:rsid w:val="62416159"/>
    <w:rsid w:val="6626411E"/>
    <w:rsid w:val="6B361577"/>
    <w:rsid w:val="6E2D6FF3"/>
    <w:rsid w:val="71E2675F"/>
    <w:rsid w:val="73C675EF"/>
    <w:rsid w:val="762D3121"/>
    <w:rsid w:val="7BC9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C63B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3C63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39"/>
    <w:qFormat/>
    <w:rsid w:val="003C63B9"/>
    <w:pPr>
      <w:tabs>
        <w:tab w:val="left" w:pos="312"/>
        <w:tab w:val="right" w:leader="dot" w:pos="9344"/>
      </w:tabs>
      <w:spacing w:beforeLines="75" w:afterLines="25"/>
    </w:pPr>
    <w:rPr>
      <w:rFonts w:ascii="Times New Roman" w:eastAsia="宋体" w:hAnsi="Times New Roman" w:cs="Times New Roman"/>
      <w:b/>
      <w:sz w:val="24"/>
      <w:szCs w:val="24"/>
    </w:rPr>
  </w:style>
  <w:style w:type="paragraph" w:styleId="20">
    <w:name w:val="toc 2"/>
    <w:next w:val="a"/>
    <w:uiPriority w:val="39"/>
    <w:qFormat/>
    <w:rsid w:val="003C63B9"/>
    <w:pPr>
      <w:tabs>
        <w:tab w:val="left" w:pos="600"/>
        <w:tab w:val="right" w:leader="dot" w:pos="9344"/>
      </w:tabs>
      <w:spacing w:beforeLines="50" w:afterLines="25"/>
      <w:ind w:leftChars="100" w:left="100"/>
    </w:pPr>
    <w:rPr>
      <w:rFonts w:ascii="Times New Roman" w:eastAsia="宋体" w:hAnsi="Times New Roman" w:cs="Times New Roman"/>
      <w:b/>
      <w:sz w:val="21"/>
      <w:szCs w:val="24"/>
    </w:rPr>
  </w:style>
  <w:style w:type="character" w:styleId="a6">
    <w:name w:val="Hyperlink"/>
    <w:basedOn w:val="a0"/>
    <w:uiPriority w:val="99"/>
    <w:unhideWhenUsed/>
    <w:rsid w:val="003C63B9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3C63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3B9"/>
    <w:rPr>
      <w:sz w:val="18"/>
      <w:szCs w:val="18"/>
    </w:rPr>
  </w:style>
  <w:style w:type="paragraph" w:customStyle="1" w:styleId="a7">
    <w:name w:val="文件头"/>
    <w:next w:val="a"/>
    <w:uiPriority w:val="9"/>
    <w:qFormat/>
    <w:rsid w:val="003C63B9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3C63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s.tgc.edu.cn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yperlink" Target="https://jingyan.baidu.com/article/8065f87fc59f1723312498f1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10</cp:revision>
  <dcterms:created xsi:type="dcterms:W3CDTF">2020-06-01T02:13:00Z</dcterms:created>
  <dcterms:modified xsi:type="dcterms:W3CDTF">2023-09-22T03:37:00Z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3152F51B28654408949E84D84F01ED8F</vt:lpwstr>
  </property>
</Properties>
</file>