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B56B47D">
      <w:pPr>
        <w:spacing w:line="540" w:lineRule="exact"/>
        <w:jc w:val="center"/>
        <w:rPr>
          <w:rFonts w:hint="eastAsia" w:ascii="宋体" w:hAnsi="宋体" w:eastAsia="宋体" w:cs="宋体"/>
          <w:b/>
          <w:bCs/>
          <w:color w:val="000000"/>
          <w:sz w:val="32"/>
          <w:szCs w:val="32"/>
          <w:lang w:val="en-US" w:eastAsia="zh-CN"/>
        </w:rPr>
      </w:pPr>
      <w:r>
        <w:rPr>
          <w:rFonts w:hint="eastAsia" w:ascii="宋体" w:hAnsi="宋体" w:eastAsia="宋体" w:cs="宋体"/>
          <w:b/>
          <w:bCs/>
          <w:color w:val="000000"/>
          <w:sz w:val="32"/>
          <w:szCs w:val="32"/>
          <w:lang w:val="en-US" w:eastAsia="zh-CN"/>
        </w:rPr>
        <w:t>中南大学湘雅三医院2025年编外科研助理招聘岗位与要求</w:t>
      </w:r>
    </w:p>
    <w:tbl>
      <w:tblPr>
        <w:tblStyle w:val="2"/>
        <w:tblW w:w="10725" w:type="dxa"/>
        <w:tblInd w:w="-104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60"/>
        <w:gridCol w:w="780"/>
        <w:gridCol w:w="915"/>
        <w:gridCol w:w="947"/>
        <w:gridCol w:w="7423"/>
      </w:tblGrid>
      <w:tr w14:paraId="54FFF3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57"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2C61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7FFB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课题组</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130F59">
            <w:pPr>
              <w:keepNext w:val="0"/>
              <w:keepLines w:val="0"/>
              <w:widowControl/>
              <w:suppressLineNumbers w:val="0"/>
              <w:jc w:val="center"/>
              <w:textAlignment w:val="center"/>
              <w:rPr>
                <w:rFonts w:hint="default"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招聘计划</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7FC86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岗位</w:t>
            </w:r>
          </w:p>
        </w:tc>
        <w:tc>
          <w:tcPr>
            <w:tcW w:w="74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D4CEC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岗位要求</w:t>
            </w:r>
          </w:p>
        </w:tc>
      </w:tr>
      <w:tr w14:paraId="7F1689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62" w:hRule="atLeast"/>
        </w:trPr>
        <w:tc>
          <w:tcPr>
            <w:tcW w:w="66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028780">
            <w:pPr>
              <w:keepNext w:val="0"/>
              <w:keepLines w:val="0"/>
              <w:widowControl/>
              <w:suppressLineNumbers w:val="0"/>
              <w:jc w:val="center"/>
              <w:textAlignment w:val="center"/>
              <w:rPr>
                <w:rFonts w:hint="default"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1</w:t>
            </w:r>
          </w:p>
        </w:tc>
        <w:tc>
          <w:tcPr>
            <w:tcW w:w="78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932E00">
            <w:pPr>
              <w:keepNext w:val="0"/>
              <w:keepLines w:val="0"/>
              <w:widowControl/>
              <w:suppressLineNumbers w:val="0"/>
              <w:jc w:val="center"/>
              <w:textAlignment w:val="center"/>
              <w:rPr>
                <w:rFonts w:hint="default"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朱利勇教授课题组</w:t>
            </w: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679099">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39AB7">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科研助理</w:t>
            </w:r>
          </w:p>
        </w:tc>
        <w:tc>
          <w:tcPr>
            <w:tcW w:w="7423"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DEA2A">
            <w:pPr>
              <w:keepNext w:val="0"/>
              <w:keepLines w:val="0"/>
              <w:widowControl/>
              <w:numPr>
                <w:ilvl w:val="0"/>
                <w:numId w:val="0"/>
              </w:numPr>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1.贯彻党的教育方针，思想政治素质优良，遵守国家医疗卫生行业标准及规范；</w:t>
            </w:r>
          </w:p>
          <w:p w14:paraId="3A1B2099">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2.硕士研究生及以上学历，年龄35周岁以，内有相关工作经验者可以适当放宽；</w:t>
            </w:r>
          </w:p>
          <w:p w14:paraId="632683E2">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3.具有机电工程、自动化控制或生物医学工程等相关专业背景，有相关工作经验1年以上，有医疗器械研发相关操作经验者优先，优秀应届毕业生亦可考虑；</w:t>
            </w:r>
          </w:p>
          <w:p w14:paraId="439C0E7E">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4.协助课题组开展相关科研工作；</w:t>
            </w:r>
          </w:p>
          <w:p w14:paraId="295DAD22">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5.擅长结构设计、机械制图及基本数据分析和整理，熟练掌握Solidworks/UG/CAD 等3D及2D制图软件；</w:t>
            </w:r>
          </w:p>
          <w:p w14:paraId="5C422DD1">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6.具备文献查阅和英语阅读能力，熟练使用Office等办公软件；</w:t>
            </w:r>
          </w:p>
          <w:p w14:paraId="3E86966F">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7.具有相关科研经验和良好的心理素质，动手能力、学习能力强；</w:t>
            </w:r>
          </w:p>
          <w:p w14:paraId="0DFD71D4">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1"/>
                <w:szCs w:val="21"/>
                <w:u w:val="none"/>
                <w:lang w:val="en-US" w:eastAsia="zh-CN" w:bidi="ar"/>
              </w:rPr>
              <w:t>8.责任心和组织观念强，工作踏实并具有良好的沟通能力与团队合作精神。</w:t>
            </w:r>
          </w:p>
        </w:tc>
      </w:tr>
      <w:tr w14:paraId="27FD446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97" w:hRule="atLeast"/>
        </w:trPr>
        <w:tc>
          <w:tcPr>
            <w:tcW w:w="660" w:type="dxa"/>
            <w:vMerge w:val="restart"/>
            <w:tcBorders>
              <w:top w:val="nil"/>
              <w:left w:val="single" w:color="000000" w:sz="4" w:space="0"/>
              <w:right w:val="single" w:color="000000" w:sz="4" w:space="0"/>
            </w:tcBorders>
            <w:shd w:val="clear" w:color="auto" w:fill="auto"/>
            <w:noWrap/>
            <w:vAlign w:val="center"/>
          </w:tcPr>
          <w:p w14:paraId="55E7DE11">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p>
        </w:tc>
        <w:tc>
          <w:tcPr>
            <w:tcW w:w="780" w:type="dxa"/>
            <w:vMerge w:val="restart"/>
            <w:tcBorders>
              <w:top w:val="nil"/>
              <w:left w:val="single" w:color="000000" w:sz="4" w:space="0"/>
              <w:right w:val="single" w:color="000000" w:sz="4" w:space="0"/>
            </w:tcBorders>
            <w:shd w:val="clear" w:color="auto" w:fill="auto"/>
            <w:noWrap/>
            <w:vAlign w:val="center"/>
          </w:tcPr>
          <w:p w14:paraId="28D85F4B">
            <w:pPr>
              <w:keepNext w:val="0"/>
              <w:keepLines w:val="0"/>
              <w:widowControl/>
              <w:suppressLineNumbers w:val="0"/>
              <w:jc w:val="center"/>
              <w:textAlignment w:val="center"/>
              <w:rPr>
                <w:rFonts w:hint="default" w:ascii="宋体" w:hAnsi="宋体" w:eastAsia="宋体" w:cs="宋体"/>
                <w:b/>
                <w:bCs/>
                <w:i w:val="0"/>
                <w:iCs w:val="0"/>
                <w:color w:val="000000"/>
                <w:sz w:val="24"/>
                <w:szCs w:val="24"/>
                <w:u w:val="none"/>
                <w:lang w:val="en-US" w:eastAsia="zh-CN"/>
              </w:rPr>
            </w:pPr>
            <w:r>
              <w:rPr>
                <w:rFonts w:hint="eastAsia" w:ascii="宋体" w:hAnsi="宋体" w:eastAsia="宋体" w:cs="宋体"/>
                <w:b/>
                <w:bCs/>
                <w:i w:val="0"/>
                <w:iCs w:val="0"/>
                <w:color w:val="000000"/>
                <w:sz w:val="24"/>
                <w:szCs w:val="24"/>
                <w:u w:val="none"/>
                <w:lang w:val="en-US" w:eastAsia="zh-CN"/>
              </w:rPr>
              <w:t>蔡菁菁教授课题组</w:t>
            </w:r>
          </w:p>
        </w:tc>
        <w:tc>
          <w:tcPr>
            <w:tcW w:w="915" w:type="dxa"/>
            <w:vMerge w:val="restart"/>
            <w:tcBorders>
              <w:top w:val="single" w:color="000000" w:sz="4" w:space="0"/>
              <w:left w:val="single" w:color="000000" w:sz="4" w:space="0"/>
              <w:right w:val="single" w:color="000000" w:sz="4" w:space="0"/>
            </w:tcBorders>
            <w:shd w:val="clear" w:color="auto" w:fill="auto"/>
            <w:vAlign w:val="center"/>
          </w:tcPr>
          <w:p w14:paraId="1E3366D9">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w:t>
            </w:r>
          </w:p>
        </w:tc>
        <w:tc>
          <w:tcPr>
            <w:tcW w:w="947" w:type="dxa"/>
            <w:vMerge w:val="restart"/>
            <w:tcBorders>
              <w:top w:val="single" w:color="000000" w:sz="4" w:space="0"/>
              <w:left w:val="single" w:color="000000" w:sz="4" w:space="0"/>
              <w:right w:val="single" w:color="000000" w:sz="4" w:space="0"/>
            </w:tcBorders>
            <w:shd w:val="clear" w:color="auto" w:fill="auto"/>
            <w:vAlign w:val="center"/>
          </w:tcPr>
          <w:p w14:paraId="42BCB2C7">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科研助理</w:t>
            </w:r>
          </w:p>
          <w:p w14:paraId="151CEB93">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p>
        </w:tc>
        <w:tc>
          <w:tcPr>
            <w:tcW w:w="7423" w:type="dxa"/>
            <w:tcBorders>
              <w:top w:val="nil"/>
              <w:left w:val="single" w:color="000000" w:sz="4" w:space="0"/>
              <w:bottom w:val="single" w:color="000000" w:sz="4" w:space="0"/>
              <w:right w:val="single" w:color="000000" w:sz="4" w:space="0"/>
            </w:tcBorders>
            <w:shd w:val="clear" w:color="auto" w:fill="auto"/>
            <w:vAlign w:val="top"/>
          </w:tcPr>
          <w:p w14:paraId="03AA36F5">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1.贯彻党的教育方针，思想政治素质优良，遵守国家医疗卫生行业标准及规范；</w:t>
            </w:r>
          </w:p>
          <w:p w14:paraId="35C61A37">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2.硕士及以上学历，年龄35周岁以内，有相关工作经验者可以适当放宽；</w:t>
            </w:r>
          </w:p>
          <w:p w14:paraId="5AEC664D">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3.具有分子生物学、细胞生物学、临床医学相关专业硕士及以上学历，有相关工作经验1年以上，以第一作者在相关领域较高水平的学术杂志上发表过研究论文者优先；</w:t>
            </w:r>
          </w:p>
          <w:p w14:paraId="515C3D6C">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4.了解并开展血管重构的人群及免疫机制的研究工作；</w:t>
            </w:r>
          </w:p>
          <w:p w14:paraId="5C789443">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5.负责科研项目全流程管理协调，参与科研项目申报、中期、结题等工作；</w:t>
            </w:r>
          </w:p>
          <w:p w14:paraId="5FF698AA">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6.课题组科研成果、科研合同、实验原始数据记录的汇总整理及存档工作；</w:t>
            </w:r>
          </w:p>
          <w:p w14:paraId="63354433">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7.实验室平台日常管理的职责；</w:t>
            </w:r>
          </w:p>
          <w:p w14:paraId="65854E4D">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1"/>
                <w:szCs w:val="21"/>
                <w:u w:val="none"/>
                <w:lang w:val="en-US" w:eastAsia="zh-CN" w:bidi="ar"/>
              </w:rPr>
              <w:t>8.严格执行单位保密制度。</w:t>
            </w:r>
          </w:p>
        </w:tc>
      </w:tr>
      <w:tr w14:paraId="6E28DF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797" w:hRule="atLeast"/>
        </w:trPr>
        <w:tc>
          <w:tcPr>
            <w:tcW w:w="660" w:type="dxa"/>
            <w:vMerge w:val="continue"/>
            <w:tcBorders>
              <w:left w:val="single" w:color="000000" w:sz="4" w:space="0"/>
              <w:bottom w:val="single" w:color="000000" w:sz="4" w:space="0"/>
              <w:right w:val="single" w:color="000000" w:sz="4" w:space="0"/>
            </w:tcBorders>
            <w:shd w:val="clear" w:color="auto" w:fill="auto"/>
            <w:noWrap/>
            <w:vAlign w:val="center"/>
          </w:tcPr>
          <w:p w14:paraId="00EDA695">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p>
        </w:tc>
        <w:tc>
          <w:tcPr>
            <w:tcW w:w="780" w:type="dxa"/>
            <w:vMerge w:val="continue"/>
            <w:tcBorders>
              <w:left w:val="single" w:color="000000" w:sz="4" w:space="0"/>
              <w:bottom w:val="single" w:color="000000" w:sz="4" w:space="0"/>
              <w:right w:val="single" w:color="000000" w:sz="4" w:space="0"/>
            </w:tcBorders>
            <w:shd w:val="clear" w:color="auto" w:fill="auto"/>
            <w:noWrap/>
            <w:vAlign w:val="center"/>
          </w:tcPr>
          <w:p w14:paraId="78633A60">
            <w:pPr>
              <w:keepNext w:val="0"/>
              <w:keepLines w:val="0"/>
              <w:widowControl/>
              <w:suppressLineNumbers w:val="0"/>
              <w:jc w:val="center"/>
              <w:textAlignment w:val="center"/>
              <w:rPr>
                <w:rFonts w:hint="default" w:ascii="宋体" w:hAnsi="宋体" w:eastAsia="宋体" w:cs="宋体"/>
                <w:b/>
                <w:bCs/>
                <w:i w:val="0"/>
                <w:iCs w:val="0"/>
                <w:color w:val="000000"/>
                <w:sz w:val="24"/>
                <w:szCs w:val="24"/>
                <w:u w:val="none"/>
                <w:lang w:val="en-US" w:eastAsia="zh-CN"/>
              </w:rPr>
            </w:pPr>
          </w:p>
        </w:tc>
        <w:tc>
          <w:tcPr>
            <w:tcW w:w="915" w:type="dxa"/>
            <w:vMerge w:val="continue"/>
            <w:tcBorders>
              <w:left w:val="single" w:color="000000" w:sz="4" w:space="0"/>
              <w:bottom w:val="single" w:color="000000" w:sz="4" w:space="0"/>
              <w:right w:val="single" w:color="000000" w:sz="4" w:space="0"/>
            </w:tcBorders>
            <w:shd w:val="clear" w:color="auto" w:fill="auto"/>
            <w:vAlign w:val="center"/>
          </w:tcPr>
          <w:p w14:paraId="7FE59231">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p>
        </w:tc>
        <w:tc>
          <w:tcPr>
            <w:tcW w:w="947" w:type="dxa"/>
            <w:vMerge w:val="continue"/>
            <w:tcBorders>
              <w:left w:val="single" w:color="000000" w:sz="4" w:space="0"/>
              <w:bottom w:val="single" w:color="000000" w:sz="4" w:space="0"/>
              <w:right w:val="single" w:color="000000" w:sz="4" w:space="0"/>
            </w:tcBorders>
            <w:shd w:val="clear" w:color="auto" w:fill="auto"/>
            <w:vAlign w:val="center"/>
          </w:tcPr>
          <w:p w14:paraId="67727B33">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p>
        </w:tc>
        <w:tc>
          <w:tcPr>
            <w:tcW w:w="7423" w:type="dxa"/>
            <w:tcBorders>
              <w:top w:val="nil"/>
              <w:left w:val="single" w:color="000000" w:sz="4" w:space="0"/>
              <w:bottom w:val="single" w:color="000000" w:sz="4" w:space="0"/>
              <w:right w:val="single" w:color="000000" w:sz="4" w:space="0"/>
            </w:tcBorders>
            <w:shd w:val="clear" w:color="auto" w:fill="auto"/>
            <w:vAlign w:val="top"/>
          </w:tcPr>
          <w:p w14:paraId="73356270">
            <w:pPr>
              <w:keepNext w:val="0"/>
              <w:keepLines w:val="0"/>
              <w:widowControl/>
              <w:numPr>
                <w:ilvl w:val="0"/>
                <w:numId w:val="0"/>
              </w:numPr>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1.贯彻党的教育方针，思想政治素质优良，遵守国家医疗卫生行业标准及规范；</w:t>
            </w:r>
          </w:p>
          <w:p w14:paraId="1F7A9C42">
            <w:pPr>
              <w:keepNext w:val="0"/>
              <w:keepLines w:val="0"/>
              <w:widowControl/>
              <w:numPr>
                <w:ilvl w:val="0"/>
                <w:numId w:val="0"/>
              </w:numPr>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2.硕士及以上学历，年龄35周岁以内，有相关工作经验者可以适当放宽；</w:t>
            </w:r>
          </w:p>
          <w:p w14:paraId="5BFECCC5">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3.具有基础医学、生物技术、分子生物学等相关专业硕士及以上学历，有相关工作经验1年以上，有分子生物学实验相关操作经验者优先，优秀应届毕业生亦可考虑；</w:t>
            </w:r>
          </w:p>
          <w:p w14:paraId="7B7BF9F5">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4.熟练掌握常规分子生物学实验，包括DNA/RNA提取，PCR，qPCR，ELISA，免疫印记等相关实验； 克隆载体构建、表达载体构建、慢病毒/慢病毒载体、常用细胞转染技术、免疫共沉淀技术、GST沉降技术、细胞共定位技术；</w:t>
            </w:r>
          </w:p>
          <w:p w14:paraId="44625F7C">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 xml:space="preserve">5.撰写相关分子检测结果及报告，针对项目中存在问题及时向上反馈，根据改进方案及时进行测试，汇总结果； </w:t>
            </w:r>
          </w:p>
          <w:p w14:paraId="5261823B">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 xml:space="preserve">6.负责实验过程中的数据的记录、保持，确保实验记录的完整与归档； </w:t>
            </w:r>
          </w:p>
          <w:p w14:paraId="454F6ADE">
            <w:pPr>
              <w:keepNext w:val="0"/>
              <w:keepLines w:val="0"/>
              <w:widowControl/>
              <w:suppressLineNumbers w:val="0"/>
              <w:spacing w:line="240" w:lineRule="auto"/>
              <w:jc w:val="both"/>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7.具备文献查阅和英语阅读能力，熟练使用Office等办公软件；</w:t>
            </w:r>
          </w:p>
          <w:p w14:paraId="144711C8">
            <w:pPr>
              <w:keepNext w:val="0"/>
              <w:keepLines w:val="0"/>
              <w:widowControl/>
              <w:suppressLineNumbers w:val="0"/>
              <w:jc w:val="both"/>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1"/>
                <w:szCs w:val="21"/>
                <w:u w:val="none"/>
                <w:lang w:val="en-US" w:eastAsia="zh-CN" w:bidi="ar"/>
              </w:rPr>
              <w:t>8.配合完成组内包括5S，质量，安全，设备维护与保养等相关日常管理工作；9.工作责任心强，具有良好的沟通能力和问题解决能力。</w:t>
            </w:r>
          </w:p>
        </w:tc>
      </w:tr>
      <w:tr w14:paraId="2A7DE1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8" w:hRule="atLeast"/>
        </w:trPr>
        <w:tc>
          <w:tcPr>
            <w:tcW w:w="660" w:type="dxa"/>
            <w:tcBorders>
              <w:top w:val="single" w:color="auto" w:sz="4" w:space="0"/>
              <w:left w:val="single" w:color="auto" w:sz="4" w:space="0"/>
              <w:bottom w:val="single" w:color="auto" w:sz="4" w:space="0"/>
              <w:right w:val="single" w:color="auto" w:sz="4" w:space="0"/>
            </w:tcBorders>
            <w:shd w:val="clear" w:color="auto" w:fill="auto"/>
            <w:noWrap/>
            <w:vAlign w:val="center"/>
          </w:tcPr>
          <w:p w14:paraId="57176B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bidi="ar"/>
              </w:rPr>
              <w:t>合计</w:t>
            </w:r>
          </w:p>
        </w:tc>
        <w:tc>
          <w:tcPr>
            <w:tcW w:w="780" w:type="dxa"/>
            <w:tcBorders>
              <w:top w:val="single" w:color="000000" w:sz="4" w:space="0"/>
              <w:left w:val="single" w:color="auto" w:sz="4" w:space="0"/>
              <w:bottom w:val="single" w:color="000000" w:sz="4" w:space="0"/>
              <w:right w:val="single" w:color="000000" w:sz="4" w:space="0"/>
            </w:tcBorders>
            <w:shd w:val="clear" w:color="auto" w:fill="auto"/>
            <w:vAlign w:val="center"/>
          </w:tcPr>
          <w:p w14:paraId="48EB8DB7">
            <w:pPr>
              <w:keepNext w:val="0"/>
              <w:keepLines w:val="0"/>
              <w:widowControl/>
              <w:suppressLineNumbers w:val="0"/>
              <w:jc w:val="center"/>
              <w:textAlignment w:val="center"/>
              <w:rPr>
                <w:rFonts w:hint="default" w:ascii="宋体" w:hAnsi="宋体" w:eastAsia="宋体" w:cs="宋体"/>
                <w:b/>
                <w:bCs/>
                <w:i w:val="0"/>
                <w:iCs w:val="0"/>
                <w:color w:val="000000"/>
                <w:sz w:val="21"/>
                <w:szCs w:val="21"/>
                <w:u w:val="none"/>
                <w:lang w:val="en-US" w:eastAsia="zh-CN"/>
              </w:rPr>
            </w:pPr>
          </w:p>
        </w:tc>
        <w:tc>
          <w:tcPr>
            <w:tcW w:w="91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20C27">
            <w:pPr>
              <w:keepNext w:val="0"/>
              <w:keepLines w:val="0"/>
              <w:widowControl/>
              <w:suppressLineNumbers w:val="0"/>
              <w:jc w:val="center"/>
              <w:textAlignment w:val="center"/>
              <w:rPr>
                <w:rFonts w:hint="default" w:ascii="宋体" w:hAnsi="宋体" w:eastAsia="宋体" w:cs="宋体"/>
                <w:i w:val="0"/>
                <w:iCs w:val="0"/>
                <w:color w:val="000000"/>
                <w:kern w:val="0"/>
                <w:sz w:val="21"/>
                <w:szCs w:val="21"/>
                <w:u w:val="none"/>
                <w:lang w:val="en-US" w:eastAsia="zh-CN" w:bidi="ar"/>
              </w:rPr>
            </w:pPr>
            <w:r>
              <w:rPr>
                <w:rFonts w:hint="eastAsia" w:ascii="宋体" w:hAnsi="宋体" w:eastAsia="宋体" w:cs="宋体"/>
                <w:i w:val="0"/>
                <w:iCs w:val="0"/>
                <w:color w:val="000000"/>
                <w:kern w:val="0"/>
                <w:sz w:val="21"/>
                <w:szCs w:val="21"/>
                <w:u w:val="none"/>
                <w:lang w:val="en-US" w:eastAsia="zh-CN" w:bidi="ar"/>
              </w:rPr>
              <w:t>3</w:t>
            </w:r>
          </w:p>
        </w:tc>
        <w:tc>
          <w:tcPr>
            <w:tcW w:w="947" w:type="dxa"/>
            <w:tcBorders>
              <w:top w:val="single" w:color="000000" w:sz="4" w:space="0"/>
              <w:left w:val="single" w:color="000000" w:sz="4" w:space="0"/>
              <w:bottom w:val="single" w:color="000000" w:sz="4" w:space="0"/>
              <w:right w:val="single" w:color="000000" w:sz="4" w:space="0"/>
            </w:tcBorders>
            <w:shd w:val="clear" w:color="auto" w:fill="auto"/>
            <w:vAlign w:val="top"/>
          </w:tcPr>
          <w:p w14:paraId="177535BD">
            <w:pPr>
              <w:keepNext w:val="0"/>
              <w:keepLines w:val="0"/>
              <w:widowControl/>
              <w:suppressLineNumbers w:val="0"/>
              <w:jc w:val="both"/>
              <w:textAlignment w:val="center"/>
              <w:rPr>
                <w:rFonts w:hint="default" w:ascii="宋体" w:hAnsi="宋体" w:eastAsia="宋体" w:cs="宋体"/>
                <w:i w:val="0"/>
                <w:iCs w:val="0"/>
                <w:color w:val="000000"/>
                <w:sz w:val="21"/>
                <w:szCs w:val="21"/>
                <w:u w:val="none"/>
                <w:lang w:val="en-US"/>
              </w:rPr>
            </w:pPr>
          </w:p>
        </w:tc>
        <w:tc>
          <w:tcPr>
            <w:tcW w:w="7423" w:type="dxa"/>
            <w:tcBorders>
              <w:top w:val="nil"/>
              <w:left w:val="single" w:color="000000" w:sz="4" w:space="0"/>
              <w:bottom w:val="single" w:color="000000" w:sz="4" w:space="0"/>
              <w:right w:val="single" w:color="000000" w:sz="4" w:space="0"/>
            </w:tcBorders>
            <w:shd w:val="clear" w:color="auto" w:fill="auto"/>
            <w:vAlign w:val="top"/>
          </w:tcPr>
          <w:p w14:paraId="7C3FAD22">
            <w:pPr>
              <w:keepNext w:val="0"/>
              <w:keepLines w:val="0"/>
              <w:widowControl/>
              <w:numPr>
                <w:ilvl w:val="0"/>
                <w:numId w:val="0"/>
              </w:numPr>
              <w:suppressLineNumbers w:val="0"/>
              <w:ind w:leftChars="0"/>
              <w:jc w:val="both"/>
              <w:textAlignment w:val="center"/>
              <w:rPr>
                <w:rFonts w:hint="default" w:ascii="宋体" w:hAnsi="宋体" w:eastAsia="宋体" w:cs="宋体"/>
                <w:i w:val="0"/>
                <w:iCs w:val="0"/>
                <w:color w:val="000000"/>
                <w:kern w:val="0"/>
                <w:sz w:val="21"/>
                <w:szCs w:val="21"/>
                <w:u w:val="none"/>
                <w:lang w:val="en-US" w:eastAsia="zh-CN" w:bidi="ar"/>
              </w:rPr>
            </w:pPr>
          </w:p>
        </w:tc>
      </w:tr>
    </w:tbl>
    <w:p w14:paraId="7877B630">
      <w:pPr>
        <w:rPr>
          <w:rFonts w:hint="default"/>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QxOTU2ZmI1OWZkNDZiNzliOWZmMzQyMDlkN2YyZGMifQ=="/>
  </w:docVars>
  <w:rsids>
    <w:rsidRoot w:val="4356620B"/>
    <w:rsid w:val="01F36FCC"/>
    <w:rsid w:val="02030A4D"/>
    <w:rsid w:val="028A40DF"/>
    <w:rsid w:val="02A50452"/>
    <w:rsid w:val="047D1CE0"/>
    <w:rsid w:val="04B52C5F"/>
    <w:rsid w:val="04D05CEB"/>
    <w:rsid w:val="07944DAE"/>
    <w:rsid w:val="07A70F85"/>
    <w:rsid w:val="086E35E5"/>
    <w:rsid w:val="08955281"/>
    <w:rsid w:val="096B4234"/>
    <w:rsid w:val="0A2F0DBE"/>
    <w:rsid w:val="0E4137B5"/>
    <w:rsid w:val="11AE5935"/>
    <w:rsid w:val="11B55A39"/>
    <w:rsid w:val="19377C8F"/>
    <w:rsid w:val="1C200D20"/>
    <w:rsid w:val="262B0B7B"/>
    <w:rsid w:val="264D6D44"/>
    <w:rsid w:val="27005B64"/>
    <w:rsid w:val="272E6D45"/>
    <w:rsid w:val="27FF7BCA"/>
    <w:rsid w:val="297168A5"/>
    <w:rsid w:val="29752839"/>
    <w:rsid w:val="2B9B40AD"/>
    <w:rsid w:val="2BC62BC7"/>
    <w:rsid w:val="2BE041B6"/>
    <w:rsid w:val="2C3A38C6"/>
    <w:rsid w:val="2E6C1D31"/>
    <w:rsid w:val="2E951288"/>
    <w:rsid w:val="2FCA31B3"/>
    <w:rsid w:val="33C67CC6"/>
    <w:rsid w:val="34AF4725"/>
    <w:rsid w:val="36BA5D2F"/>
    <w:rsid w:val="379A346B"/>
    <w:rsid w:val="38987871"/>
    <w:rsid w:val="3A30455A"/>
    <w:rsid w:val="3A7D09AD"/>
    <w:rsid w:val="3AF351C2"/>
    <w:rsid w:val="3B7364AD"/>
    <w:rsid w:val="3CC01BC6"/>
    <w:rsid w:val="3CE433F0"/>
    <w:rsid w:val="3D3B749E"/>
    <w:rsid w:val="405A40DF"/>
    <w:rsid w:val="40833636"/>
    <w:rsid w:val="41D63C39"/>
    <w:rsid w:val="4356620B"/>
    <w:rsid w:val="488E4926"/>
    <w:rsid w:val="4B0C5FD6"/>
    <w:rsid w:val="4B481704"/>
    <w:rsid w:val="4C121D12"/>
    <w:rsid w:val="4E0A0EF3"/>
    <w:rsid w:val="4E437F61"/>
    <w:rsid w:val="52A5743C"/>
    <w:rsid w:val="57DF351F"/>
    <w:rsid w:val="592F2831"/>
    <w:rsid w:val="59722042"/>
    <w:rsid w:val="59DE1485"/>
    <w:rsid w:val="5CDA23D8"/>
    <w:rsid w:val="5D1F428F"/>
    <w:rsid w:val="5EC104D9"/>
    <w:rsid w:val="60597AB8"/>
    <w:rsid w:val="60762418"/>
    <w:rsid w:val="632366B5"/>
    <w:rsid w:val="63F57AF7"/>
    <w:rsid w:val="648C045C"/>
    <w:rsid w:val="66246E26"/>
    <w:rsid w:val="67226837"/>
    <w:rsid w:val="68406806"/>
    <w:rsid w:val="6D1C5AA8"/>
    <w:rsid w:val="6E16620A"/>
    <w:rsid w:val="6E8E3022"/>
    <w:rsid w:val="6FBA3920"/>
    <w:rsid w:val="7304699C"/>
    <w:rsid w:val="749F1AE5"/>
    <w:rsid w:val="75117F43"/>
    <w:rsid w:val="75CA2B92"/>
    <w:rsid w:val="781E5417"/>
    <w:rsid w:val="795149E0"/>
    <w:rsid w:val="7A6510DB"/>
    <w:rsid w:val="7D407BDD"/>
    <w:rsid w:val="7E484F9C"/>
    <w:rsid w:val="7F3850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1003</Words>
  <Characters>1080</Characters>
  <Lines>0</Lines>
  <Paragraphs>0</Paragraphs>
  <TotalTime>1</TotalTime>
  <ScaleCrop>false</ScaleCrop>
  <LinksUpToDate>false</LinksUpToDate>
  <CharactersWithSpaces>1084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2024-02-28T08:27:00Z</dcterms:created>
  <dc:creator>sunny</dc:creator>
  <cp:lastModifiedBy>雅</cp:lastModifiedBy>
  <dcterms:modified xsi:type="dcterms:W3CDTF">2025-03-19T02:57:58Z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CF992EAD4ECB406D89CFAC0C54C87D1B_11</vt:lpwstr>
  </property>
  <property fmtid="{D5CDD505-2E9C-101B-9397-08002B2CF9AE}" pid="4" name="KSOTemplateDocerSaveRecord">
    <vt:lpwstr>eyJoZGlkIjoiNGQ3MmMyODZhZDM5OWNjN2UxMjE4NWE2NDhmZWZhZTkiLCJ1c2VySWQiOiI0NTI5MDg2MDIifQ==</vt:lpwstr>
  </property>
</Properties>
</file>